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55" w:rsidRPr="005E2755" w:rsidRDefault="005E2755" w:rsidP="005E27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E2755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🤖</w:t>
      </w:r>
      <w:r w:rsidRPr="005E27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RobotAgency.Live – Investor Brief</w: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The Core Commercial Engine of the SpaceArch Ecosystem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RobotAgency.Live is the most valuable strategic asset inside the SpaceArch ecosystem.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It is not only another portal or business unit.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👉 It is the machine that sells, invoices, recruits, promotes and activates every other SpaceArch division.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RobotAgency.Live is designed to become the central global sales and advertising platform for: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SpaceArch products and services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AI and automation solutions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Smart Windows and OmniStand systems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Gen Academy courses and telework training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Future Fashion, Expoplanet, PortsFish and RealEstateFashion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SpaceArch XR and future technologies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International clients seeking digital marketing, telesales and advertising services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At the same time, RobotAgency.Live also functions as an international advertising and commercial agency capable of serving external clients worldwide.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💰 Investment Proposal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Total capital sought: US$10,000,000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Equity offered: 10%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Initial ticket: US$300,000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Remaining contributions to be delivered progressively according to system milestones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structure is designed to minimize risk and allow the system to finance much of its own expansion through the revenue it generates.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️ Phase 1 – Initial Activation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Initial contribution: US$300,000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Objective: complete the first operational version of RobotAgency.Live and activate the first commercial network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This phase includes: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lastRenderedPageBreak/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Development of the sales and commission system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CRM + telesales + AI integration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Activation of the first city-level sales teams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Launch of Smart Sales and operator dashboards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Integration with all SpaceArch portals and products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Recruitment of the first City COOs and telesales operators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First campaigns for external clients and internal ecosystem products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objective is to begin generating immediate recurring revenue.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🔁 Progressive Funding Through Deliverables and Revenue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remainder of the capital is not required immediately.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 contributions will be made progressively according to: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delivery of operational modules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number of active operators and cities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achieved sales volume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recurring revenue generated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international expansion milestones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👉 Investors may finance later contributions partially or entirely using the returns produced by RobotAgency.Live once the system becomes commercially active.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This dramatically reduces capital risk while increasing upside.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📈 Why RobotAgency.Live Is Different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 a traditional startup, RobotAgency.Live does not depend on building a sales force from zero.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 already possesses: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the commercial model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telesales commission structure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portal ecosystem to sell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first products and services already defined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operational training system through Gen Academy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Smart Windows, OmniStand and advertising concepts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international network beginning to form across Mar del Plata, Miami, Africa and future partner cities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Therefore, investment is not used to discover if there is a market.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market already exists.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objective is to activate and scale the commercial machine.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🤖 The Most Valuable Asset in the Ecosystem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RobotAgency.Live is strategically the most valuable SpaceArch asset because it creates a powerful multiplier effect.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Every new salesperson recruited can sell: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courses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portals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advertising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software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AI services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architecture projects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digital stands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international consulting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SpaceArch XR and future technologies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👉 One network sells everything.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At the same time, every new client acquired increases the value of all the other SpaceArch divisions.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RobotAgency.Live therefore acts as: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the sales force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advertising agency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growth engine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the cash flow generator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and the expansion infrastructure of the entire ecosystem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Use of Capital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The US$10 million round will be applied to: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• 🖥️ Software and CRM development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🤖 AI sales and automation tools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📞 Recruitment and training of telesales operators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🌎 Expansion of city-level networks and City COOs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📺 Deployment of OmniStand, Smart Windows and media channels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• 📢 International advertising campaigns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🌐 Commercial expansion into Latin America, the United States, Africa and Europe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💡 Investor Benefits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 entering this round receive: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Participation in the most strategic commercial asset of the SpaceArch ecosystem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Entry before the system reaches large-scale international deployment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Lower risk due to phased funding and self-financing capability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The possibility of using future commercial returns to finance later capital contributions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2755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️ Exposure to multiple industries at once: advertising, AI, robotics, digital services and international sales</w:t>
      </w:r>
    </w:p>
    <w:p w:rsidR="005E2755" w:rsidRPr="005E2755" w:rsidRDefault="005E2755" w:rsidP="005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5E2755" w:rsidRPr="005E2755" w:rsidRDefault="005E2755" w:rsidP="005E2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2755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⚡</w:t>
      </w:r>
      <w:r w:rsidRPr="005E275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Strategic Conclusion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RobotAgency.Live is not simply a sales platform.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It is the core commercial infrastructure that can activate, accelerate and monetize the entire SpaceArch ecosystem.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 RobotAgency.Live, SpaceArch has projects.</w:t>
      </w:r>
    </w:p>
    <w:p w:rsidR="005E2755" w:rsidRPr="005E2755" w:rsidRDefault="005E2755" w:rsidP="005E2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2755">
        <w:rPr>
          <w:rFonts w:ascii="Times New Roman" w:eastAsia="Times New Roman" w:hAnsi="Times New Roman" w:cs="Times New Roman"/>
          <w:sz w:val="24"/>
          <w:szCs w:val="24"/>
          <w:lang w:eastAsia="es-ES"/>
        </w:rPr>
        <w:t>With RobotAgency.Live, SpaceArch becomes a self-expanding global business network.</w:t>
      </w:r>
    </w:p>
    <w:p w:rsidR="00735656" w:rsidRDefault="00735656"/>
    <w:sectPr w:rsidR="00735656" w:rsidSect="0073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/>
  <w:rsids>
    <w:rsidRoot w:val="005E2755"/>
    <w:rsid w:val="005E2755"/>
    <w:rsid w:val="0073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56"/>
  </w:style>
  <w:style w:type="paragraph" w:styleId="Ttulo1">
    <w:name w:val="heading 1"/>
    <w:basedOn w:val="Normal"/>
    <w:link w:val="Ttulo1Car"/>
    <w:uiPriority w:val="9"/>
    <w:qFormat/>
    <w:rsid w:val="005E2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E2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75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E275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2026-04-06T16:15:00Z</dcterms:created>
  <dcterms:modified xsi:type="dcterms:W3CDTF">2026-04-06T16:15:00Z</dcterms:modified>
</cp:coreProperties>
</file>