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5A" w:rsidRDefault="00CA58AA">
      <w:pPr>
        <w:pStyle w:val="Ttulo1"/>
      </w:pPr>
      <w:r>
        <w:t>SPACEARCH GLOBAL ECOSYSTEM – STRATEGIC ONE-PAGE BRIEF</w:t>
      </w:r>
    </w:p>
    <w:p w:rsidR="00E0055A" w:rsidRDefault="00CA58AA">
      <w:r>
        <w:t>Vision: Build the first integrated ecosystem capable of combining AI, digital platforms, education, finance, humanitarian action, advanced hardware, space technology, and robotics to solve the greatest</w:t>
      </w:r>
      <w:r>
        <w:t xml:space="preserve"> challenges of civilization.</w:t>
      </w:r>
    </w:p>
    <w:p w:rsidR="00E0055A" w:rsidRDefault="00CA58AA">
      <w:pPr>
        <w:pStyle w:val="Ttulo2"/>
      </w:pPr>
      <w:r>
        <w:t>What Exists Today</w:t>
      </w:r>
    </w:p>
    <w:p w:rsidR="00E0055A" w:rsidRDefault="00CA58AA">
      <w:r>
        <w:t>• Active ecosystem already built and operating through SpaceArch Solutions, Global Solidarity, Green Interbanks, Mayday Live, Gen Academy, MegaStore, Future Fashion, Expoplanet, RobotAgency, Digital Labs and o</w:t>
      </w:r>
      <w:r>
        <w:t>ther portals.</w:t>
      </w:r>
      <w:r>
        <w:br/>
        <w:t>• 13 operational portals already online and validated.</w:t>
      </w:r>
      <w:r>
        <w:br/>
        <w:t>• Coworking + Digital Lab microhub operating model in Mar del Plata as the first physical MVP.</w:t>
      </w:r>
      <w:r>
        <w:br/>
        <w:t>• First courses, digital products, telesales, media, e-commerce and AI services ready to sca</w:t>
      </w:r>
      <w:r>
        <w:t>le.</w:t>
      </w:r>
    </w:p>
    <w:p w:rsidR="00E0055A" w:rsidRDefault="00CA58AA">
      <w:pPr>
        <w:pStyle w:val="Ttulo2"/>
      </w:pPr>
      <w:r>
        <w:t>The 219 Megaprojects</w:t>
      </w:r>
    </w:p>
    <w:p w:rsidR="00E0055A" w:rsidRDefault="00CA58AA">
      <w:r>
        <w:t>The ecosystem contains 219 interconnected megaprojects grouped into three strategic engines:</w:t>
      </w:r>
      <w:r>
        <w:br/>
        <w:t>1. Commercial Engine: MegaStore, GlobalMarkets, OmniStand, Smart Windows, media, e-commerce.</w:t>
      </w:r>
      <w:r>
        <w:br/>
        <w:t>2. Technological Engine: AI Earth, RobotAgenc</w:t>
      </w:r>
      <w:r>
        <w:t>y, SpaceArch XR, NDE, SonoBrain, AI servers, Digital Labs, advanced software.</w:t>
      </w:r>
      <w:r>
        <w:br/>
        <w:t>3. Infrastructure &amp; Future Engine: Domus Robotics, SpaceArch New NASA, space projects, teleworking cities, intelligent buildings, energy, urban robotics and planetary-scale syste</w:t>
      </w:r>
      <w:r>
        <w:t>ms.</w:t>
      </w:r>
    </w:p>
    <w:p w:rsidR="00E0055A" w:rsidRDefault="00CA58AA">
      <w:pPr>
        <w:pStyle w:val="Ttulo2"/>
      </w:pPr>
      <w:r>
        <w:t>Flagship High-Impact Projects</w:t>
      </w:r>
    </w:p>
    <w:p w:rsidR="00E0055A" w:rsidRDefault="00CA58AA">
      <w:r>
        <w:t>• SpaceArch XR: next-generation AR/VR/XR operating ecosystem.</w:t>
      </w:r>
      <w:r>
        <w:br/>
        <w:t>• NDE + SonoBrain: non-invasive neural interface and biodigital command system.</w:t>
      </w:r>
      <w:r>
        <w:br/>
        <w:t>• Domus Robotics: intelligent building transformation platform with robotics, AI</w:t>
      </w:r>
      <w:r>
        <w:t>, telework and urban distributed corporate networks.</w:t>
      </w:r>
      <w:r>
        <w:br/>
        <w:t>• Space Projects: SpaceArch New NASA, orbital computing, lunar robotics, satellites, advanced communications and space-based infrastructure.</w:t>
      </w:r>
      <w:r>
        <w:br/>
        <w:t>• Global Solidarity + Green Interbanks + Mayday Live: global h</w:t>
      </w:r>
      <w:r>
        <w:t>umanitarian and sustainable development system.</w:t>
      </w:r>
    </w:p>
    <w:p w:rsidR="00E0055A" w:rsidRDefault="00CA58AA">
      <w:pPr>
        <w:pStyle w:val="Ttulo2"/>
      </w:pPr>
      <w:r>
        <w:t>What USD 250,000 Achieves</w:t>
      </w:r>
    </w:p>
    <w:p w:rsidR="00E0055A" w:rsidRDefault="00CA58AA">
      <w:r>
        <w:t>• Accelerate the first revenue-generating businesses already validated.</w:t>
      </w:r>
      <w:r>
        <w:br/>
        <w:t>• Complete the first operational versions of SpaceArch XR, NDE/SonoBrain and Domus Robotics.</w:t>
      </w:r>
      <w:r>
        <w:br/>
        <w:t>• Expand the Digi</w:t>
      </w:r>
      <w:r>
        <w:t>tal Labs + Gen Academy + MegaStore ecosystem.</w:t>
      </w:r>
      <w:r>
        <w:br/>
        <w:t>• Produce the first international investor and commercial launch campaign.</w:t>
      </w:r>
      <w:r>
        <w:br/>
        <w:t>• Create a self-financing loop where growth is funded by the profits generated.</w:t>
      </w:r>
    </w:p>
    <w:p w:rsidR="00E0055A" w:rsidRDefault="00CA58AA">
      <w:pPr>
        <w:pStyle w:val="Ttulo2"/>
      </w:pPr>
      <w:r>
        <w:lastRenderedPageBreak/>
        <w:t>How It Scales</w:t>
      </w:r>
    </w:p>
    <w:p w:rsidR="00E0055A" w:rsidRDefault="00CA58AA">
      <w:r>
        <w:t xml:space="preserve">Phase 1: USD 250K – validation and first </w:t>
      </w:r>
      <w:r>
        <w:t>cash flow.</w:t>
      </w:r>
      <w:r>
        <w:br/>
        <w:t>Phase 2: USD 1M–5M – national scaling and first international contracts.</w:t>
      </w:r>
      <w:r>
        <w:br/>
        <w:t>Phase 3: USD 10M–100M+ – exponential scaling of the global ecosystem, advanced hardware, space systems, robotics and digital cities.</w:t>
      </w:r>
    </w:p>
    <w:p w:rsidR="00E0055A" w:rsidRDefault="00CA58AA">
      <w:pPr>
        <w:pStyle w:val="Ttulo2"/>
      </w:pPr>
      <w:r>
        <w:t>Strategic Offer</w:t>
      </w:r>
    </w:p>
    <w:p w:rsidR="00E0055A" w:rsidRDefault="00CA58AA">
      <w:r>
        <w:t>In exchange for financi</w:t>
      </w:r>
      <w:r>
        <w:t>ng the fu</w:t>
      </w:r>
      <w:r w:rsidR="00904193">
        <w:t xml:space="preserve">ll ecosystem, </w:t>
      </w:r>
      <w:proofErr w:type="spellStart"/>
      <w:r w:rsidR="00904193">
        <w:t>SpaceArch</w:t>
      </w:r>
      <w:proofErr w:type="spellEnd"/>
      <w:r w:rsidR="00904193">
        <w:t xml:space="preserve"> offers 10% equity participation and 2</w:t>
      </w:r>
      <w:r>
        <w:t>0% of global net profits. The proposal is designed as a progressive, low-risk, results-based partnership.</w:t>
      </w:r>
    </w:p>
    <w:sectPr w:rsidR="00E005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71D37"/>
    <w:rsid w:val="00904193"/>
    <w:rsid w:val="00AA1D8D"/>
    <w:rsid w:val="00B47730"/>
    <w:rsid w:val="00CA58AA"/>
    <w:rsid w:val="00CB0664"/>
    <w:rsid w:val="00E0055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2</cp:revision>
  <dcterms:created xsi:type="dcterms:W3CDTF">2026-03-28T12:51:00Z</dcterms:created>
  <dcterms:modified xsi:type="dcterms:W3CDTF">2026-03-28T12:51:00Z</dcterms:modified>
</cp:coreProperties>
</file>